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0" w:right="0" w:firstLine="283"/>
        <w:jc w:val="both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553063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right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14.05.2025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360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В Самарской области продолжается работа по реализация 518-ФЗ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276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Во всех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муниципалитетах  Самарской области активно продолжается работа по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выявлению правообладателей ранее учтенных объектов недвижимости. Это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повышает качество и полноту данных Единого государствен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ного реестра недвижимости, что положительно повлияет на социально-экономическое развитие региона, инвестиционный климат, формирование консолидированных бюджетов по имущественным налогам и сборам, а главное - обеспечивает защиту прав собственников при реали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зации инвестиционных и инфраструктурных проектов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276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</w:rPr>
        <w:t xml:space="preserve">94 152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объекта недви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жимости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актуализировано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самарским Росреестром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на 1 мая 2025 года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, из которых</w:t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на 7 330 объектов внесено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записей на основании актов органов местного самоуправления о выявлении правообладателей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276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Необходимо отметить, что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по инициативе заявителей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было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з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арегистрировано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</w:rPr>
        <w:t xml:space="preserve">4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</w:rPr>
        <w:t xml:space="preserve">8 230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ранее возникших прав. С таким показателем Самарская область вошла в четверку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регионов Приволжского Федерального округа,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а также заняла 1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5 место по Российской Федерации по количеству таких оформленных прав.</w:t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276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Лидерами по решениям о выявлении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правообладателей стали города Самара, Тольятти, Новокуйбышевск, Сергиевский, Кинель-Черкасский и Кинельский районы, города Октябрьск, Жигулевск, Сызрань, Красноармейский, Похвистневский, Шигонский и П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риволжский районы.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46</cp:revision>
  <dcterms:modified xsi:type="dcterms:W3CDTF">2025-05-14T06:51:27Z</dcterms:modified>
</cp:coreProperties>
</file>